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8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sr-RS" w:val="sr-RS"/>
        </w:rPr>
      </w:r>
    </w:p>
    <w:p>
      <w:pPr>
        <w:pStyle w:val="style0"/>
        <w:suppressLineNumbers/>
        <w:spacing w:after="0" w:before="0" w:line="100" w:lineRule="atLeast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sr-RS" w:val="sr-RS"/>
        </w:rPr>
        <w:t>ЗАШТИТА ЖИВОТНЕ СРЕДИНЕ У ИНДУСТРИЈСКИМ ОБЈЕКТИМА</w:t>
      </w:r>
    </w:p>
    <w:p>
      <w:pPr>
        <w:pStyle w:val="style0"/>
        <w:suppressLineNumbers/>
        <w:spacing w:after="0" w:before="0" w:line="100" w:lineRule="atLeast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sr-RS" w:val="sr-RS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sr-RS" w:val="sr-RS"/>
        </w:rPr>
        <w:t>Контролна листа: Поступање произвођача неопасног и инертног отпада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eastAsia="Times New Roman" w:hAnsi="Times New Roman"/>
          <w:sz w:val="24"/>
          <w:szCs w:val="24"/>
          <w:lang w:eastAsia="sr-RS" w:val="sr-RS"/>
        </w:rPr>
        <w:t xml:space="preserve">Обавезе </w:t>
      </w:r>
      <w:r>
        <w:rPr>
          <w:rFonts w:ascii="Times New Roman" w:eastAsia="Times New Roman" w:hAnsi="Times New Roman"/>
          <w:b/>
          <w:sz w:val="24"/>
          <w:szCs w:val="24"/>
          <w:lang w:eastAsia="sr-RS" w:val="sr-RS"/>
        </w:rPr>
        <w:t>произвођача</w:t>
      </w:r>
      <w:r>
        <w:rPr>
          <w:rFonts w:ascii="Times New Roman" w:eastAsia="Times New Roman" w:hAnsi="Times New Roman"/>
          <w:sz w:val="24"/>
          <w:szCs w:val="24"/>
          <w:lang w:eastAsia="sr-RS" w:val="sr-RS"/>
        </w:rPr>
        <w:t xml:space="preserve"> неопасног и инертог отпада према Закону о управљању отпадом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Calibri" w:hAnsi="Times New Roman"/>
          <w:sz w:val="24"/>
          <w:szCs w:val="24"/>
          <w:lang w:val="sr-RS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Calibri" w:hAnsi="Times New Roman"/>
          <w:sz w:val="24"/>
          <w:szCs w:val="24"/>
          <w:lang w:val="sr-RS"/>
        </w:rPr>
        <w:t xml:space="preserve">Табела А: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sr-RS" w:val="sr-RS"/>
        </w:rPr>
        <w:t>Општи подаци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Calibri" w:hAnsi="Times New Roman"/>
          <w:sz w:val="24"/>
          <w:szCs w:val="24"/>
          <w:lang w:val="sr-RS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5314"/>
        <w:gridCol w:w="5305"/>
      </w:tblGrid>
      <w:tr>
        <w:trPr>
          <w:cantSplit w:val="false"/>
        </w:trPr>
        <w:tc>
          <w:tcPr>
            <w:tcW w:type="dxa" w:w="53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Назив правног лица, предузетника</w:t>
            </w:r>
          </w:p>
        </w:tc>
        <w:tc>
          <w:tcPr>
            <w:tcW w:type="dxa" w:w="53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53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Општина и место седишта</w:t>
            </w:r>
          </w:p>
        </w:tc>
        <w:tc>
          <w:tcPr>
            <w:tcW w:type="dxa" w:w="53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53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Матични број</w:t>
            </w:r>
          </w:p>
        </w:tc>
        <w:tc>
          <w:tcPr>
            <w:tcW w:type="dxa" w:w="53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53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ПИБ</w:t>
            </w:r>
          </w:p>
        </w:tc>
        <w:tc>
          <w:tcPr>
            <w:tcW w:type="dxa" w:w="53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53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Име особе за контакт</w:t>
            </w:r>
          </w:p>
        </w:tc>
        <w:tc>
          <w:tcPr>
            <w:tcW w:type="dxa" w:w="53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53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Телефон и електронска адреса контакт особе</w:t>
            </w:r>
          </w:p>
        </w:tc>
        <w:tc>
          <w:tcPr>
            <w:tcW w:type="dxa" w:w="53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53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 xml:space="preserve">Број судског регистрационог улошка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(Попунити за установе)</w:t>
            </w:r>
          </w:p>
        </w:tc>
        <w:tc>
          <w:tcPr>
            <w:tcW w:type="dxa" w:w="53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53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sr-RS" w:val="sr-RS"/>
              </w:rPr>
              <w:t>Назив постројења/активности</w:t>
            </w:r>
          </w:p>
        </w:tc>
        <w:tc>
          <w:tcPr>
            <w:tcW w:type="dxa" w:w="53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53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sr-RS" w:val="sr-RS"/>
              </w:rPr>
              <w:t>Општина и место постројења/активности</w:t>
            </w:r>
          </w:p>
        </w:tc>
        <w:tc>
          <w:tcPr>
            <w:tcW w:type="dxa" w:w="53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Times New Roman" w:cs="Times New Roman" w:eastAsia="Calibri" w:hAnsi="Times New Roman"/>
          <w:sz w:val="24"/>
          <w:szCs w:val="24"/>
          <w:lang w:val="sr-RS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Calibri" w:hAnsi="Times New Roman"/>
          <w:sz w:val="24"/>
          <w:szCs w:val="24"/>
          <w:lang w:val="sr-RS"/>
        </w:rPr>
        <w:t>Табела Б:</w:t>
      </w:r>
      <w:r>
        <w:rPr>
          <w:rFonts w:ascii="Times New Roman" w:cs="Times New Roman" w:eastAsia="Times New Roman" w:hAnsi="Times New Roman"/>
          <w:sz w:val="24"/>
          <w:szCs w:val="24"/>
          <w:lang w:eastAsia="sr-RS" w:val="sr-RS"/>
        </w:rPr>
        <w:t xml:space="preserve"> Статус правног лица, предузетника</w:t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7734"/>
        <w:gridCol w:w="2975"/>
      </w:tblGrid>
      <w:tr>
        <w:trPr>
          <w:cantSplit w:val="false"/>
        </w:trPr>
        <w:tc>
          <w:tcPr>
            <w:tcW w:type="dxa" w:w="77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type="dxa" w:w="29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Не *</w:t>
            </w:r>
          </w:p>
        </w:tc>
      </w:tr>
      <w:tr>
        <w:trPr>
          <w:cantSplit w:val="false"/>
        </w:trPr>
        <w:tc>
          <w:tcPr>
            <w:tcW w:type="dxa" w:w="535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* 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sr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iCs/>
          <w:smallCaps/>
          <w:sz w:val="24"/>
          <w:szCs w:val="24"/>
          <w:lang w:eastAsia="en-US" w:val="sr-RS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sr-RS" w:val="sr-RS"/>
        </w:rPr>
        <w:t>Табела В: Законске обавезе</w:t>
      </w:r>
    </w:p>
    <w:tbl>
      <w:tblPr>
        <w:jc w:val="center"/>
        <w:tblBorders>
          <w:top w:color="00000A" w:space="0" w:sz="4" w:val="single"/>
          <w:left w:color="000001" w:space="0" w:sz="6" w:val="single"/>
          <w:bottom w:color="000001" w:space="0" w:sz="6" w:val="single"/>
          <w:right w:color="000001" w:space="0" w:sz="6" w:val="single"/>
        </w:tblBorders>
      </w:tblPr>
      <w:tblGrid>
        <w:gridCol w:w="3660"/>
      </w:tblGrid>
      <w:tr>
        <w:trPr>
          <w:trHeight w:hRule="atLeast" w:val="323"/>
          <w:cantSplit w:val="true"/>
        </w:trPr>
        <w:tc>
          <w:tcPr>
            <w:tcW w:type="dxa" w:w="3660"/>
            <w:gridSpan w:val="3"/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А) Документација о отпаду</w:t>
            </w:r>
          </w:p>
        </w:tc>
      </w:tr>
      <w:tr>
        <w:trPr>
          <w:trHeight w:hRule="atLeast" w:val="440"/>
          <w:cantSplit w:val="true"/>
        </w:trPr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А1</w:t>
            </w:r>
          </w:p>
        </w:tc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keepNext/>
              <w:spacing w:after="0" w:before="0" w:line="100" w:lineRule="atLeast"/>
              <w:jc w:val="both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Да ли је произвођач отпада одредио лице одговорно за управљање отпадом </w:t>
            </w:r>
          </w:p>
        </w:tc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eastAsia="ru-RU"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Није применљиво</w:t>
            </w:r>
          </w:p>
        </w:tc>
      </w:tr>
      <w:tr>
        <w:trPr>
          <w:trHeight w:hRule="atLeast" w:val="440"/>
          <w:cantSplit w:val="true"/>
        </w:trPr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А2</w:t>
            </w:r>
          </w:p>
        </w:tc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 ли је произвођач отпада сачинио План управљања отпадом</w:t>
            </w:r>
          </w:p>
        </w:tc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Не      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eastAsia="ru-RU"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Није применљиво</w:t>
            </w:r>
          </w:p>
        </w:tc>
      </w:tr>
      <w:tr>
        <w:trPr>
          <w:trHeight w:hRule="atLeast" w:val="440"/>
          <w:cantSplit w:val="true"/>
        </w:trPr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А3</w:t>
            </w:r>
          </w:p>
        </w:tc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 ли План управљања отпадом садржи све ставке из члана 15. Закона о управљању отпадом</w:t>
            </w:r>
          </w:p>
        </w:tc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Не     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eastAsia="ru-RU"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Није применљиво</w:t>
            </w:r>
          </w:p>
        </w:tc>
      </w:tr>
      <w:tr>
        <w:trPr>
          <w:trHeight w:hRule="atLeast" w:val="440"/>
          <w:cantSplit w:val="true"/>
        </w:trPr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А4</w:t>
            </w:r>
          </w:p>
        </w:tc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Да ли је произвођач отпада извршио ажурирање Плана управљања отпадом у року од три године </w:t>
            </w:r>
          </w:p>
        </w:tc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eastAsia="ru-RU"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Није применљиво </w:t>
            </w:r>
          </w:p>
        </w:tc>
      </w:tr>
      <w:tr>
        <w:trPr>
          <w:trHeight w:hRule="atLeast" w:val="692"/>
          <w:cantSplit w:val="true"/>
        </w:trPr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А5</w:t>
            </w:r>
          </w:p>
        </w:tc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 ли је у Плану управљања отпадом извршена класификација отпада према врсти, називу и индексном броју отпада на основу каталога отпада из правилника</w:t>
            </w:r>
          </w:p>
        </w:tc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Не    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eastAsia="ru-RU"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Није применљиво </w:t>
            </w:r>
          </w:p>
        </w:tc>
      </w:tr>
      <w:tr>
        <w:trPr>
          <w:trHeight w:hRule="atLeast" w:val="440"/>
          <w:cantSplit w:val="true"/>
        </w:trPr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А6</w:t>
            </w:r>
          </w:p>
        </w:tc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Да ли постоји извештај о испитивању отпада према Правилнику о категоријама, испитивању и класификацији отпада из 2010.год. за сваки отпад који, према пореклу, саставу и карактеристикама, може бити опасан отпад </w:t>
            </w:r>
          </w:p>
        </w:tc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Не 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eastAsia="ru-RU"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Није применљиво  </w:t>
            </w:r>
          </w:p>
        </w:tc>
      </w:tr>
      <w:tr>
        <w:trPr>
          <w:trHeight w:hRule="atLeast" w:val="1521"/>
          <w:cantSplit w:val="true"/>
        </w:trPr>
        <w:tc>
          <w:tcPr>
            <w:tcW w:type="dxa" w:w="3660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А7</w:t>
            </w:r>
          </w:p>
        </w:tc>
        <w:tc>
          <w:tcPr>
            <w:tcW w:type="dxa" w:w="3660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 ли произвођач отпада поседује Документе о кретању отпада који су потписани од стране примаоца отпада</w:t>
            </w:r>
          </w:p>
        </w:tc>
        <w:tc>
          <w:tcPr>
            <w:tcW w:type="dxa" w:w="3660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Не 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eastAsia="ru-RU"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Није применљиво</w:t>
            </w:r>
          </w:p>
        </w:tc>
      </w:tr>
      <w:tr>
        <w:trPr>
          <w:trHeight w:hRule="atLeast" w:val="791"/>
          <w:cantSplit w:val="true"/>
        </w:trPr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А8</w:t>
            </w:r>
          </w:p>
        </w:tc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ли је произвођач отпада предавао 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неопасан и инертан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отпад само лицима која су овлашћена за управљање том врстом предатог отпада, тог индексног броја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</w:tc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Не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eastAsia="ru-RU"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Није применљиво </w:t>
            </w:r>
          </w:p>
        </w:tc>
      </w:tr>
      <w:tr>
        <w:trPr>
          <w:trHeight w:hRule="atLeast" w:val="440"/>
          <w:cantSplit w:val="true"/>
        </w:trPr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А9</w:t>
            </w:r>
          </w:p>
        </w:tc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 ли је за сваку врсту неопасног и инертног отпада Агенцији за заштиту животне средине достављен Образац ГИО 1 - Годишњи извештај о отпаду произвођача отпада, уношењем у информациони систем Националног регистра извора загађивања и у папирној форми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ru-RU"/>
              </w:rPr>
              <w:t>,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у року до 31.марта текуће године за претходну годину</w:t>
            </w:r>
          </w:p>
        </w:tc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Не     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eastAsia="ru-RU"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Није применљиво</w:t>
            </w:r>
          </w:p>
        </w:tc>
      </w:tr>
      <w:tr>
        <w:trPr>
          <w:trHeight w:hRule="atLeast" w:val="440"/>
          <w:cantSplit w:val="true"/>
        </w:trPr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А10</w:t>
            </w:r>
          </w:p>
        </w:tc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 ли произвођач отпада, за све врсте отпада води евиденцију на Обрасцу ДЕО 1-Дневна евиденција о отпаду произвођача отпада</w:t>
            </w:r>
          </w:p>
        </w:tc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Не   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eastAsia="ru-RU"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Није применљиво</w:t>
            </w:r>
          </w:p>
        </w:tc>
      </w:tr>
      <w:tr>
        <w:trPr>
          <w:trHeight w:hRule="atLeast" w:val="454"/>
          <w:cantSplit w:val="true"/>
        </w:trPr>
        <w:tc>
          <w:tcPr>
            <w:tcW w:type="dxa" w:w="366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 xml:space="preserve">Б) Привремено складиштење отпада </w:t>
            </w:r>
          </w:p>
        </w:tc>
      </w:tr>
      <w:tr>
        <w:trPr>
          <w:trHeight w:hRule="atLeast" w:val="440"/>
          <w:cantSplit w:val="true"/>
        </w:trPr>
        <w:tc>
          <w:tcPr>
            <w:tcW w:type="dxa" w:w="3660"/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Б1</w:t>
            </w:r>
          </w:p>
        </w:tc>
        <w:tc>
          <w:tcPr>
            <w:tcW w:type="dxa" w:w="3660"/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Да ли се све количине отпада и упакованог отпада</w:t>
            </w:r>
            <w:r>
              <w:rPr>
                <w:rFonts w:ascii="Times New Roman" w:hAnsi="Times New Roman"/>
                <w:sz w:val="24"/>
                <w:szCs w:val="24"/>
                <w:lang w:eastAsia="ru-RU"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који се користи као секундарна сировина обележеног видљиво и јасно, складиште у складишту отвореног или затвореног типа</w:t>
            </w:r>
          </w:p>
        </w:tc>
        <w:tc>
          <w:tcPr>
            <w:tcW w:type="dxa" w:w="3660"/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  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eastAsia="MS Gothic" w:hAnsi="MS Gothic"/>
                <w:sz w:val="24"/>
                <w:szCs w:val="24"/>
                <w:lang w:eastAsia="ru-RU"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Није применљиво </w:t>
            </w:r>
          </w:p>
        </w:tc>
      </w:tr>
      <w:tr>
        <w:trPr>
          <w:trHeight w:hRule="atLeast" w:val="440"/>
          <w:cantSplit w:val="true"/>
        </w:trPr>
        <w:tc>
          <w:tcPr>
            <w:tcW w:type="dxa" w:w="3660"/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Б2</w:t>
            </w:r>
          </w:p>
        </w:tc>
        <w:tc>
          <w:tcPr>
            <w:tcW w:type="dxa" w:w="3660"/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Да ли се све количине отпада и упакованог отпада</w:t>
            </w:r>
            <w:r>
              <w:rPr>
                <w:rFonts w:ascii="Times New Roman" w:hAnsi="Times New Roman"/>
                <w:sz w:val="24"/>
                <w:szCs w:val="24"/>
                <w:lang w:eastAsia="ru-RU"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који се користи као секундарна сировина, обележеног натписом који садржи назив и седиште или знак произвођача називом и индексним бројем отпада, складиште у складишту које је ограђено и под сталним надзором</w:t>
            </w:r>
          </w:p>
        </w:tc>
        <w:tc>
          <w:tcPr>
            <w:tcW w:type="dxa" w:w="3660"/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  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eastAsia="MS Gothic" w:hAnsi="MS Gothic"/>
                <w:sz w:val="24"/>
                <w:szCs w:val="24"/>
                <w:lang w:eastAsia="ru-RU"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Није применљиво  </w:t>
            </w:r>
          </w:p>
        </w:tc>
      </w:tr>
      <w:tr>
        <w:trPr>
          <w:trHeight w:hRule="atLeast" w:val="581"/>
          <w:cantSplit w:val="true"/>
        </w:trPr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Б3</w:t>
            </w:r>
          </w:p>
        </w:tc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Да ли се све количине отпада који се користи као секундарна сировина или за добијање енергије, складиште у складишту на стабилној и непропусној подлози, са одговарајућом заштитом од атмосферских утицаја </w:t>
            </w:r>
          </w:p>
        </w:tc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  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eastAsia="MS Gothic" w:hAnsi="MS Gothic"/>
                <w:sz w:val="24"/>
                <w:szCs w:val="24"/>
                <w:lang w:eastAsia="ru-RU"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Није применљиво </w:t>
            </w:r>
          </w:p>
        </w:tc>
      </w:tr>
      <w:tr>
        <w:trPr>
          <w:trHeight w:hRule="atLeast" w:val="1159"/>
          <w:cantSplit w:val="true"/>
        </w:trPr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Б4</w:t>
            </w:r>
          </w:p>
        </w:tc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Да ли се све количине отпада који се користи као секундарна сировина или за добијање енергије, складиште у складишту са системом за потпуни контролисани прихват атмосферске воде са свих манипулативних површина</w:t>
            </w:r>
          </w:p>
        </w:tc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  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eastAsia="MS Gothic" w:hAnsi="MS Gothic"/>
                <w:sz w:val="24"/>
                <w:szCs w:val="24"/>
                <w:lang w:eastAsia="ru-RU"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Није применљиво  </w:t>
            </w:r>
          </w:p>
        </w:tc>
      </w:tr>
      <w:tr>
        <w:trPr>
          <w:trHeight w:hRule="atLeast" w:val="440"/>
          <w:cantSplit w:val="true"/>
        </w:trPr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Б5</w:t>
            </w:r>
          </w:p>
        </w:tc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Да ли се све количине отпада у течном стању</w:t>
            </w:r>
            <w:r>
              <w:rPr>
                <w:rFonts w:ascii="Times New Roman" w:hAnsi="Times New Roman"/>
                <w:sz w:val="24"/>
                <w:szCs w:val="24"/>
                <w:lang w:eastAsia="ru-RU"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складиште у складишту у посудама за складиштење са непропусном танкваном која може да прими целокупну количину отпада у случају удеса (процуривања) </w:t>
            </w:r>
          </w:p>
        </w:tc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  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eastAsia="MS Gothic" w:hAnsi="MS Gothic"/>
                <w:sz w:val="24"/>
                <w:szCs w:val="24"/>
                <w:lang w:eastAsia="ru-RU"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Није применљиво  </w:t>
            </w:r>
          </w:p>
        </w:tc>
      </w:tr>
      <w:tr>
        <w:trPr>
          <w:trHeight w:hRule="atLeast" w:val="70"/>
          <w:cantSplit w:val="true"/>
        </w:trPr>
        <w:tc>
          <w:tcPr>
            <w:tcW w:type="dxa" w:w="3660"/>
            <w:tcBorders>
              <w:top w:color="00000A" w:space="0" w:sz="4" w:val="single"/>
              <w:left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Б6</w:t>
            </w:r>
          </w:p>
        </w:tc>
        <w:tc>
          <w:tcPr>
            <w:tcW w:type="dxa" w:w="3660"/>
            <w:tcBorders>
              <w:top w:color="00000A" w:space="0" w:sz="4" w:val="single"/>
              <w:left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Да ли се све количине отпада у прашкастом стању, складиште у складишту на начин  којим се обезбеђује заштита од запрашивања околног простора</w:t>
            </w:r>
          </w:p>
        </w:tc>
        <w:tc>
          <w:tcPr>
            <w:tcW w:type="dxa" w:w="3660"/>
            <w:tcBorders>
              <w:top w:color="00000A" w:space="0" w:sz="4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  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eastAsia="MS Gothic" w:hAnsi="MS Gothic"/>
                <w:sz w:val="24"/>
                <w:szCs w:val="24"/>
                <w:lang w:eastAsia="ru-RU"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Није применљиво  </w:t>
            </w:r>
          </w:p>
        </w:tc>
      </w:tr>
      <w:tr>
        <w:trPr>
          <w:trHeight w:hRule="atLeast" w:val="86"/>
          <w:cantSplit w:val="true"/>
        </w:trPr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Б7</w:t>
            </w:r>
          </w:p>
        </w:tc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Да ли се складиштење отпадних уља врши у складишту са стабилном подлогом непропусном за уље и воду са опремом за сакупљање просутих течности и средствима за одмашћивање</w:t>
            </w:r>
          </w:p>
        </w:tc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    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eastAsia="MS Gothic" w:hAnsi="MS Gothic"/>
                <w:sz w:val="24"/>
                <w:szCs w:val="24"/>
                <w:lang w:eastAsia="ru-RU"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Није применљиво</w:t>
            </w:r>
          </w:p>
        </w:tc>
      </w:tr>
      <w:tr>
        <w:trPr>
          <w:trHeight w:hRule="atLeast" w:val="65"/>
          <w:cantSplit w:val="true"/>
        </w:trPr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Б8</w:t>
            </w:r>
          </w:p>
        </w:tc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Да ли се складиштење отпадних уља врши у складишту које има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>танкване</w:t>
            </w:r>
          </w:p>
        </w:tc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    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eastAsia="MS Gothic" w:hAnsi="MS Gothic"/>
                <w:sz w:val="24"/>
                <w:szCs w:val="24"/>
                <w:lang w:eastAsia="ru-RU"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Није применљиво</w:t>
            </w:r>
          </w:p>
        </w:tc>
      </w:tr>
      <w:tr>
        <w:trPr>
          <w:trHeight w:hRule="atLeast" w:val="1483"/>
          <w:cantSplit w:val="true"/>
        </w:trPr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Б9</w:t>
            </w:r>
          </w:p>
        </w:tc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Да ли се складиштење отпадних уља врши у складишту које има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>систем за потпуни контролисани прихват зауљене атмосферске воде са свих површина, њихов предтретман у сепаратору масти и уља пре упуштања у реципијент и редовно пражњење и одржавање сепаратора</w:t>
            </w:r>
          </w:p>
        </w:tc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    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eastAsia="MS Gothic" w:hAnsi="MS Gothic"/>
                <w:sz w:val="24"/>
                <w:szCs w:val="24"/>
                <w:lang w:eastAsia="ru-RU"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Није применљиво</w:t>
            </w:r>
          </w:p>
        </w:tc>
      </w:tr>
      <w:tr>
        <w:trPr>
          <w:trHeight w:hRule="atLeast" w:val="440"/>
          <w:cantSplit w:val="true"/>
        </w:trPr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Arial" w:hAnsi="Times New Roman"/>
                <w:sz w:val="24"/>
                <w:szCs w:val="24"/>
                <w:lang w:eastAsia="ru-RU" w:val="sr-RS"/>
              </w:rPr>
              <w:t>Б10</w:t>
            </w:r>
          </w:p>
        </w:tc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Да ли се настали отпад сакупља одвојено и разврстава у складу са потребом будућег третмана</w:t>
            </w:r>
          </w:p>
        </w:tc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39"/>
            </w:pPr>
            <w:r>
              <w:rPr>
                <w:rFonts w:ascii="Segoe UI Symbol" w:cs="Segoe UI Symbol" w:eastAsia="MS Gothic" w:hAnsi="Segoe UI Symbol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39"/>
            </w:pPr>
            <w:r>
              <w:rPr>
                <w:rFonts w:ascii="Segoe UI Symbol" w:cs="Segoe UI Symbol" w:eastAsia="MS Gothic" w:hAnsi="Segoe UI Symbol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39"/>
            </w:pPr>
            <w:r>
              <w:rPr>
                <w:rFonts w:ascii="Segoe UI Symbol" w:cs="Segoe UI Symbol" w:eastAsia="MS Gothic" w:hAnsi="Segoe UI Symbol"/>
                <w:sz w:val="24"/>
                <w:szCs w:val="24"/>
                <w:lang w:eastAsia="ru-RU"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>Није применљиво</w:t>
            </w:r>
          </w:p>
        </w:tc>
      </w:tr>
      <w:tr>
        <w:trPr>
          <w:trHeight w:hRule="atLeast" w:val="979"/>
          <w:cantSplit w:val="true"/>
        </w:trPr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Arial" w:hAnsi="Times New Roman"/>
                <w:sz w:val="24"/>
                <w:szCs w:val="24"/>
                <w:lang w:eastAsia="ru-RU" w:val="sr-RS"/>
              </w:rPr>
              <w:t>Б11</w:t>
            </w:r>
          </w:p>
        </w:tc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ли се врши мешање неопасног отпада са опасним отпадом </w:t>
            </w:r>
          </w:p>
        </w:tc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eastAsia="MS Gothic" w:hAnsi="MS Gothic"/>
                <w:sz w:val="24"/>
                <w:szCs w:val="24"/>
                <w:lang w:eastAsia="ru-RU"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Није применљиво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   </w:t>
            </w:r>
          </w:p>
        </w:tc>
      </w:tr>
      <w:tr>
        <w:trPr>
          <w:trHeight w:hRule="atLeast" w:val="853"/>
          <w:cantSplit w:val="true"/>
        </w:trPr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Arial" w:hAnsi="Times New Roman"/>
                <w:sz w:val="24"/>
                <w:szCs w:val="24"/>
                <w:lang w:eastAsia="ru-RU" w:val="sr-RS"/>
              </w:rPr>
              <w:t>Б12</w:t>
            </w:r>
          </w:p>
        </w:tc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Да ли се неопасан или инертан отпад одлаже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 на депонију која не испуњава техничке, технолошке и друге услове и захтеве</w:t>
            </w:r>
          </w:p>
        </w:tc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eastAsia="MS Gothic" w:hAnsi="MS Gothic"/>
                <w:sz w:val="24"/>
                <w:szCs w:val="24"/>
                <w:lang w:eastAsia="ru-RU"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Није применљиво</w:t>
            </w:r>
          </w:p>
        </w:tc>
      </w:tr>
      <w:tr>
        <w:trPr>
          <w:trHeight w:hRule="atLeast" w:val="853"/>
          <w:cantSplit w:val="true"/>
        </w:trPr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Arial" w:hAnsi="Times New Roman"/>
                <w:sz w:val="24"/>
                <w:szCs w:val="24"/>
                <w:lang w:eastAsia="ru-RU" w:val="sr-RS"/>
              </w:rPr>
              <w:t>Б13</w:t>
            </w:r>
          </w:p>
        </w:tc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Да ли се неопасан или инертан отпад одлаже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 на истој локацији заједно са опасним отпадом</w:t>
            </w:r>
          </w:p>
        </w:tc>
        <w:tc>
          <w:tcPr>
            <w:tcW w:type="dxa" w:w="366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eastAsia="MS Gothic" w:hAnsi="MS Gothic"/>
                <w:sz w:val="24"/>
                <w:szCs w:val="24"/>
                <w:lang w:eastAsia="ru-RU"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Није применљиво</w:t>
            </w:r>
          </w:p>
        </w:tc>
      </w:tr>
    </w:tbl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7599"/>
        <w:gridCol w:w="1"/>
      </w:tblGrid>
      <w:tr>
        <w:trPr>
          <w:cantSplit w:val="true"/>
        </w:trPr>
        <w:tc>
          <w:tcPr>
            <w:tcW w:type="dxa" w:w="759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overflowPunct w:val="true"/>
              <w:spacing w:after="0" w:before="0" w:line="100" w:lineRule="atLeast"/>
              <w:jc w:val="center"/>
            </w:pPr>
            <w:bookmarkStart w:id="0" w:name="_Toc178427149"/>
            <w:bookmarkEnd w:id="0"/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П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редставници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 правног лица, предузетника, друго лице:</w:t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overflowPunct w:val="true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Инспектори за заштиту животне средине</w:t>
            </w: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ru-RU"/>
              </w:rPr>
              <w:t>:</w:t>
            </w:r>
          </w:p>
        </w:tc>
      </w:tr>
      <w:tr>
        <w:trPr>
          <w:cantSplit w:val="true"/>
        </w:trPr>
        <w:tc>
          <w:tcPr>
            <w:tcW w:type="dxa" w:w="3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overflowPunct w:val="true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Име и презиме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:</w:t>
            </w:r>
          </w:p>
        </w:tc>
        <w:tc>
          <w:tcPr>
            <w:tcW w:type="dxa" w:w="4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overflowPunct w:val="true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Радно место</w:t>
            </w: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type="dxa" w:w="3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overflowPunct w:val="true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Име и презиме</w:t>
            </w: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>
        <w:trPr>
          <w:cantSplit w:val="true"/>
        </w:trPr>
        <w:tc>
          <w:tcPr>
            <w:tcW w:type="dxa" w:w="3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overflowPunct w:val="true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1.</w:t>
            </w:r>
          </w:p>
        </w:tc>
        <w:tc>
          <w:tcPr>
            <w:tcW w:type="dxa" w:w="4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overflowPunct w:val="true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</w:r>
          </w:p>
        </w:tc>
        <w:tc>
          <w:tcPr>
            <w:tcW w:type="dxa" w:w="3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overflowPunct w:val="true"/>
              <w:spacing w:after="0" w:before="0" w:line="100" w:lineRule="atLeast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1.</w:t>
            </w: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>
        <w:trPr>
          <w:trHeight w:hRule="atLeast" w:val="282"/>
          <w:cantSplit w:val="true"/>
        </w:trPr>
        <w:tc>
          <w:tcPr>
            <w:tcW w:type="dxa" w:w="3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overflowPunct w:val="true"/>
              <w:spacing w:after="0" w:before="0" w:line="100" w:lineRule="atLeast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 xml:space="preserve">2. </w:t>
            </w:r>
          </w:p>
        </w:tc>
        <w:tc>
          <w:tcPr>
            <w:tcW w:type="dxa" w:w="4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overflowPunct w:val="true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en-US"/>
              </w:rPr>
            </w:r>
          </w:p>
        </w:tc>
        <w:tc>
          <w:tcPr>
            <w:tcW w:type="dxa" w:w="3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overflowPunct w:val="true"/>
              <w:spacing w:after="0" w:before="0" w:line="100" w:lineRule="atLeast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2.</w:t>
            </w:r>
          </w:p>
        </w:tc>
      </w:tr>
      <w:tr>
        <w:trPr>
          <w:cantSplit w:val="true"/>
        </w:trPr>
        <w:tc>
          <w:tcPr>
            <w:tcW w:type="dxa" w:w="35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overflowPunct w:val="true"/>
              <w:spacing w:after="0" w:before="0" w:line="100" w:lineRule="atLeast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 xml:space="preserve">3. </w:t>
            </w:r>
          </w:p>
        </w:tc>
        <w:tc>
          <w:tcPr>
            <w:tcW w:type="dxa" w:w="4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overflowPunct w:val="true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en-US"/>
              </w:rPr>
            </w:r>
          </w:p>
        </w:tc>
        <w:tc>
          <w:tcPr>
            <w:tcW w:type="dxa" w:w="3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overflowPunct w:val="true"/>
              <w:spacing w:after="0" w:before="0" w:line="100" w:lineRule="atLeast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3.</w:t>
            </w:r>
          </w:p>
        </w:tc>
      </w:tr>
      <w:tr>
        <w:trPr>
          <w:trHeight w:hRule="atLeast" w:val="336"/>
          <w:cantSplit w:val="true"/>
        </w:trPr>
        <w:tc>
          <w:tcPr>
            <w:tcW w:type="dxa" w:w="3627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overflowPunct w:val="true"/>
              <w:spacing w:after="0" w:before="0" w:line="100" w:lineRule="atLeast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Датум инспекцијског надзора на терену:</w:t>
            </w:r>
          </w:p>
        </w:tc>
      </w:tr>
      <w:tr>
        <w:trPr>
          <w:trHeight w:hRule="atLeast" w:val="436"/>
          <w:cantSplit w:val="true"/>
        </w:trPr>
        <w:tc>
          <w:tcPr>
            <w:tcW w:type="dxa" w:w="3627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overflowPunct w:val="true"/>
              <w:spacing w:after="0" w:before="0" w:line="100" w:lineRule="atLeast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Број записника, уз који се прилаже контролна листа:</w:t>
            </w:r>
          </w:p>
        </w:tc>
      </w:tr>
    </w:tbl>
    <w:p>
      <w:pPr>
        <w:pStyle w:val="style0"/>
        <w:spacing w:after="0" w:before="0" w:line="100" w:lineRule="atLeast"/>
        <w:jc w:val="both"/>
      </w:pPr>
      <w:r>
        <w:rPr/>
      </w:r>
    </w:p>
    <w:sectPr>
      <w:headerReference r:id="rId2" w:type="even"/>
      <w:headerReference r:id="rId3" w:type="default"/>
      <w:footerReference r:id="rId4" w:type="even"/>
      <w:footerReference r:id="rId5" w:type="default"/>
      <w:type w:val="nextPage"/>
      <w:pgSz w:h="16838" w:w="11906"/>
      <w:pgMar w:bottom="1418" w:footer="709" w:gutter="0" w:header="709" w:left="1418" w:right="1418" w:top="1418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4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4"/>
      <w:jc w:val="right"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  <w:r>
      <w:rPr>
        <w:rFonts w:ascii="Times New Roman" w:cs="Times New Roman" w:hAnsi="Times New Roman"/>
        <w:sz w:val="24"/>
        <w:szCs w:val="24"/>
        <w:lang w:val="sr-RS"/>
      </w:rPr>
      <w:t>/3</w:t>
    </w:r>
  </w:p>
  <w:p>
    <w:pPr>
      <w:pStyle w:val="style34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1418" w:val="center"/>
        <w:tab w:leader="none" w:pos="4536" w:val="center"/>
        <w:tab w:leader="none" w:pos="9072" w:val="right"/>
        <w:tab w:leader="none" w:pos="9360" w:val="right"/>
      </w:tabs>
      <w:spacing w:after="0" w:before="0" w:line="100" w:lineRule="atLeast"/>
      <w:ind w:hanging="0" w:left="0" w:right="-588"/>
    </w:pPr>
    <w:r>
      <w:rPr/>
      <w:drawing>
        <wp:inline distB="0" distL="0" distR="0" distT="0">
          <wp:extent cx="390525" cy="676275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0"/>
      <w:spacing w:after="0" w:before="0" w:line="100" w:lineRule="atLeast"/>
    </w:pPr>
    <w:r>
      <w:rPr>
        <w:rFonts w:ascii="Times New Roman" w:cs="Times New Roman" w:eastAsia="Times New Roman" w:hAnsi="Times New Roman"/>
        <w:b/>
        <w:lang w:val="ru-RU"/>
      </w:rPr>
      <w:t>Република Србија</w:t>
    </w:r>
  </w:p>
  <w:p>
    <w:pPr>
      <w:pStyle w:val="style0"/>
      <w:spacing w:after="0" w:before="0" w:line="100" w:lineRule="atLeast"/>
    </w:pPr>
    <w:r>
      <w:rPr>
        <w:rFonts w:ascii="Times New Roman" w:cs="Times New Roman" w:eastAsia="Times New Roman" w:hAnsi="Times New Roman"/>
        <w:lang w:val="ru-RU"/>
      </w:rPr>
      <w:t>МИНИСТАРСТВО ЗАШТИТЕ ЖИВОТНЕ СРЕДИНЕ</w:t>
    </w:r>
  </w:p>
  <w:p>
    <w:pPr>
      <w:pStyle w:val="style0"/>
      <w:tabs>
        <w:tab w:leader="none" w:pos="1418" w:val="center"/>
        <w:tab w:leader="none" w:pos="4536" w:val="center"/>
        <w:tab w:leader="none" w:pos="9072" w:val="right"/>
        <w:tab w:leader="none" w:pos="9360" w:val="right"/>
      </w:tabs>
      <w:spacing w:after="0" w:before="0" w:line="100" w:lineRule="atLeast"/>
      <w:ind w:hanging="0" w:left="0" w:right="-588"/>
    </w:pPr>
    <w:r>
      <w:rPr>
        <w:rFonts w:ascii="Times New Roman" w:cs="Times New Roman" w:eastAsia="Times New Roman" w:hAnsi="Times New Roman"/>
        <w:lang w:val="ru-RU"/>
      </w:rPr>
      <w:t>Сектор за надзор и предострожност у животној средини</w:t>
    </w:r>
  </w:p>
  <w:p>
    <w:pPr>
      <w:pStyle w:val="style0"/>
      <w:tabs>
        <w:tab w:leader="none" w:pos="1418" w:val="center"/>
        <w:tab w:leader="none" w:pos="4536" w:val="center"/>
        <w:tab w:leader="none" w:pos="9072" w:val="right"/>
        <w:tab w:leader="none" w:pos="9360" w:val="right"/>
      </w:tabs>
      <w:spacing w:after="0" w:before="0" w:line="100" w:lineRule="atLeast"/>
      <w:ind w:hanging="0" w:left="0" w:right="-588"/>
    </w:pPr>
    <w:r>
      <w:rPr>
        <w:rFonts w:ascii="Times New Roman" w:cs="Times New Roman" w:eastAsia="Times New Roman" w:hAnsi="Times New Roman"/>
        <w:lang w:val="ru-RU"/>
      </w:rPr>
      <w:t>Инспекција за заштиту животне средине</w:t>
    </w:r>
  </w:p>
  <w:p>
    <w:pPr>
      <w:pStyle w:val="style0"/>
      <w:tabs>
        <w:tab w:leader="none" w:pos="1418" w:val="center"/>
        <w:tab w:leader="none" w:pos="4536" w:val="center"/>
        <w:tab w:leader="none" w:pos="9072" w:val="right"/>
        <w:tab w:leader="none" w:pos="9360" w:val="right"/>
      </w:tabs>
      <w:spacing w:after="0" w:before="0" w:line="100" w:lineRule="atLeast"/>
    </w:pPr>
    <w:r>
      <w:rPr>
        <w:rFonts w:ascii="Times New Roman" w:cs="Times New Roman" w:eastAsia="Times New Roman" w:hAnsi="Times New Roman"/>
        <w:b/>
        <w:sz w:val="24"/>
        <w:szCs w:val="24"/>
        <w:lang w:val="en-US"/>
      </w:rPr>
      <w:t>Шифра: КЛ-08-01/02</w:t>
    </w:r>
  </w:p>
  <w:p>
    <w:pPr>
      <w:pStyle w:val="style0"/>
      <w:tabs>
        <w:tab w:leader="none" w:pos="1418" w:val="center"/>
        <w:tab w:leader="none" w:pos="4536" w:val="center"/>
        <w:tab w:leader="none" w:pos="9072" w:val="right"/>
        <w:tab w:leader="none" w:pos="9360" w:val="right"/>
      </w:tabs>
      <w:spacing w:after="0" w:before="0" w:line="100" w:lineRule="atLeast"/>
    </w:pPr>
    <w:r>
      <w:rPr>
        <w:rFonts w:ascii="Times New Roman" w:cs="Times New Roman" w:eastAsia="Times New Roman" w:hAnsi="Times New Roman"/>
        <w:b/>
        <w:sz w:val="24"/>
        <w:szCs w:val="24"/>
        <w:lang w:val="sr-RS"/>
      </w:rPr>
      <w:t xml:space="preserve">Датум: </w:t>
    </w:r>
    <w:r>
      <w:rPr>
        <w:rFonts w:ascii="Times New Roman" w:cs="Times New Roman" w:eastAsia="Times New Roman" w:hAnsi="Times New Roman"/>
        <w:b/>
        <w:sz w:val="24"/>
        <w:szCs w:val="24"/>
      </w:rPr>
      <w:t>27.12</w:t>
    </w:r>
    <w:bookmarkStart w:id="1" w:name="_GoBack"/>
    <w:bookmarkEnd w:id="1"/>
    <w:r>
      <w:rPr>
        <w:rFonts w:ascii="Times New Roman" w:cs="Times New Roman" w:eastAsia="Times New Roman" w:hAnsi="Times New Roman"/>
        <w:b/>
        <w:sz w:val="24"/>
        <w:szCs w:val="24"/>
      </w:rPr>
      <w:t>.2019.</w:t>
    </w:r>
  </w:p>
  <w:p>
    <w:pPr>
      <w:pStyle w:val="style33"/>
    </w:pPr>
    <w:r>
      <w:rPr/>
    </w:r>
  </w:p>
</w:hdr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Verdana" w:cs="Arial" w:eastAsia="Verdana" w:hAnsi="Verdana"/>
      <w:color w:val="auto"/>
      <w:sz w:val="22"/>
      <w:szCs w:val="22"/>
      <w:lang w:bidi="ar-SA" w:eastAsia="en-US" w:val="en-GB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Balloon Text Char"/>
    <w:next w:val="style18"/>
    <w:rPr>
      <w:rFonts w:ascii="Wingdings" w:cs="Wingdings" w:hAnsi="Wingdings"/>
      <w:sz w:val="16"/>
      <w:szCs w:val="16"/>
      <w:lang w:eastAsia="en-US"/>
    </w:rPr>
  </w:style>
  <w:style w:styleId="style19" w:type="character">
    <w:name w:val="annotation reference"/>
    <w:next w:val="style19"/>
    <w:rPr>
      <w:sz w:val="16"/>
      <w:szCs w:val="16"/>
    </w:rPr>
  </w:style>
  <w:style w:styleId="style20" w:type="character">
    <w:name w:val="Comment Text Char"/>
    <w:next w:val="style20"/>
    <w:rPr>
      <w:lang w:eastAsia="en-US"/>
    </w:rPr>
  </w:style>
  <w:style w:styleId="style21" w:type="character">
    <w:name w:val="Comment Subject Char"/>
    <w:next w:val="style21"/>
    <w:rPr>
      <w:b/>
      <w:bCs/>
      <w:lang w:eastAsia="en-US"/>
    </w:rPr>
  </w:style>
  <w:style w:styleId="style22" w:type="character">
    <w:name w:val="Internet Link"/>
    <w:next w:val="style22"/>
    <w:rPr>
      <w:color w:val="0563C1"/>
      <w:u w:val="single"/>
      <w:lang w:bidi="en-US" w:eastAsia="en-US" w:val="en-US"/>
    </w:rPr>
  </w:style>
  <w:style w:styleId="style23" w:type="character">
    <w:name w:val="ListLabel 1"/>
    <w:next w:val="style23"/>
    <w:rPr>
      <w:b w:val="false"/>
    </w:rPr>
  </w:style>
  <w:style w:styleId="style24" w:type="character">
    <w:name w:val="ListLabel 2"/>
    <w:next w:val="style24"/>
    <w:rPr>
      <w:b w:val="false"/>
      <w:i w:val="false"/>
    </w:rPr>
  </w:style>
  <w:style w:styleId="style25" w:type="character">
    <w:name w:val="ListLabel 3"/>
    <w:next w:val="style25"/>
    <w:rPr>
      <w:rFonts w:cs="Courier New"/>
    </w:rPr>
  </w:style>
  <w:style w:styleId="style26" w:type="character">
    <w:name w:val="ListLabel 4"/>
    <w:next w:val="style26"/>
    <w:rPr>
      <w:rFonts w:cs="Times New Roman" w:eastAsia="Calibri"/>
    </w:rPr>
  </w:style>
  <w:style w:styleId="style27" w:type="character">
    <w:name w:val="ListLabel 5"/>
    <w:next w:val="style27"/>
    <w:rPr>
      <w:rFonts w:cs="Arial" w:eastAsia="Times New Roman"/>
    </w:rPr>
  </w:style>
  <w:style w:styleId="style28" w:type="paragraph">
    <w:name w:val="Heading"/>
    <w:basedOn w:val="style0"/>
    <w:next w:val="style29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29" w:type="paragraph">
    <w:name w:val="Text body"/>
    <w:basedOn w:val="style0"/>
    <w:next w:val="style29"/>
    <w:pPr>
      <w:spacing w:after="120" w:before="0"/>
    </w:pPr>
    <w:rPr/>
  </w:style>
  <w:style w:styleId="style30" w:type="paragraph">
    <w:name w:val="List"/>
    <w:basedOn w:val="style29"/>
    <w:next w:val="style30"/>
    <w:pPr/>
    <w:rPr>
      <w:rFonts w:cs="Mangal"/>
    </w:rPr>
  </w:style>
  <w:style w:styleId="style31" w:type="paragraph">
    <w:name w:val="Caption"/>
    <w:basedOn w:val="style0"/>
    <w:next w:val="style3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2" w:type="paragraph">
    <w:name w:val="Index"/>
    <w:basedOn w:val="style0"/>
    <w:next w:val="style32"/>
    <w:pPr>
      <w:suppressLineNumbers/>
    </w:pPr>
    <w:rPr>
      <w:rFonts w:cs="Mangal"/>
    </w:rPr>
  </w:style>
  <w:style w:styleId="style33" w:type="paragraph">
    <w:name w:val="Header"/>
    <w:basedOn w:val="style0"/>
    <w:next w:val="style33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34" w:type="paragraph">
    <w:name w:val="Footer"/>
    <w:basedOn w:val="style0"/>
    <w:next w:val="style34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35" w:type="paragraph">
    <w:name w:val="Balloon Text"/>
    <w:basedOn w:val="style0"/>
    <w:next w:val="style35"/>
    <w:pPr>
      <w:spacing w:after="0" w:before="0" w:line="100" w:lineRule="atLeast"/>
    </w:pPr>
    <w:rPr>
      <w:rFonts w:ascii="Wingdings" w:cs="Times New Roman" w:hAnsi="Wingdings"/>
      <w:sz w:val="16"/>
      <w:szCs w:val="16"/>
      <w:lang w:val="en-US"/>
    </w:rPr>
  </w:style>
  <w:style w:styleId="style36" w:type="paragraph">
    <w:name w:val="List Paragraph"/>
    <w:basedOn w:val="style0"/>
    <w:next w:val="style36"/>
    <w:pPr>
      <w:spacing w:after="0" w:before="0" w:line="100" w:lineRule="atLeast"/>
      <w:ind w:hanging="0" w:left="720" w:right="0"/>
    </w:pPr>
    <w:rPr>
      <w:rFonts w:ascii="Calibri" w:cs="Calibri" w:eastAsia="Arial" w:hAnsi="Calibri"/>
      <w:color w:val="000000"/>
      <w:sz w:val="24"/>
      <w:szCs w:val="24"/>
      <w:lang w:val="en-US"/>
    </w:rPr>
  </w:style>
  <w:style w:styleId="style37" w:type="paragraph">
    <w:name w:val="annotation text"/>
    <w:basedOn w:val="style0"/>
    <w:next w:val="style37"/>
    <w:pPr/>
    <w:rPr>
      <w:rFonts w:cs="Times New Roman"/>
      <w:sz w:val="20"/>
      <w:szCs w:val="20"/>
      <w:lang w:val="en-US"/>
    </w:rPr>
  </w:style>
  <w:style w:styleId="style38" w:type="paragraph">
    <w:name w:val="annotation subject"/>
    <w:basedOn w:val="style37"/>
    <w:next w:val="style38"/>
    <w:pPr/>
    <w:rPr>
      <w:b/>
      <w:bCs/>
    </w:rPr>
  </w:style>
  <w:style w:styleId="style39" w:type="paragraph">
    <w:name w:val="No Spacing"/>
    <w:next w:val="style39"/>
    <w:pPr>
      <w:widowControl/>
      <w:tabs>
        <w:tab w:leader="none" w:pos="720" w:val="left"/>
      </w:tabs>
      <w:suppressAutoHyphens w:val="true"/>
    </w:pPr>
    <w:rPr>
      <w:rFonts w:ascii="Verdana" w:cs="Arial" w:eastAsia="Verdana" w:hAnsi="Verdana"/>
      <w:color w:val="auto"/>
      <w:sz w:val="22"/>
      <w:szCs w:val="22"/>
      <w:lang w:bidi="ar-SA" w:eastAsia="en-US"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8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2019-12-31T09:52:00.00Z</dcterms:created>
  <dc:creator>Jelena Stankovic</dc:creator>
  <cp:lastModifiedBy>Jelena Dj. Golubovic</cp:lastModifiedBy>
  <cp:lastPrinted>2018-04-03T12:37:00.00Z</cp:lastPrinted>
  <dcterms:modified xsi:type="dcterms:W3CDTF">2019-12-31T09:52:00.00Z</dcterms:modified>
  <cp:revision>2</cp:revision>
</cp:coreProperties>
</file>